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983803">
      <w:pPr>
        <w:spacing w:line="360" w:lineRule="auto"/>
        <w:jc w:val="center"/>
        <w:rPr>
          <w:rFonts w:asciiTheme="minorEastAsia" w:hAnsiTheme="minorEastAsia" w:eastAsiaTheme="minorEastAsia"/>
          <w:sz w:val="24"/>
        </w:rPr>
      </w:pPr>
      <w:bookmarkStart w:id="0" w:name="_GoBack"/>
      <w:bookmarkEnd w:id="0"/>
      <w:r>
        <w:rPr>
          <w:rFonts w:hint="eastAsia" w:cs="宋体" w:asciiTheme="minorEastAsia" w:hAnsiTheme="minorEastAsia" w:eastAsiaTheme="minorEastAsia"/>
          <w:bCs/>
          <w:sz w:val="24"/>
        </w:rPr>
        <w:t>眼底照相机校准装置</w:t>
      </w:r>
    </w:p>
    <w:p w14:paraId="30646086">
      <w:pPr>
        <w:tabs>
          <w:tab w:val="left" w:pos="312"/>
        </w:tabs>
        <w:spacing w:line="360" w:lineRule="auto"/>
        <w:rPr>
          <w:rFonts w:cs="微软雅黑" w:asciiTheme="minorEastAsia" w:hAnsiTheme="minorEastAsia" w:eastAsiaTheme="minorEastAsia"/>
          <w:sz w:val="24"/>
        </w:rPr>
      </w:pPr>
      <w:r>
        <w:rPr>
          <w:rFonts w:hint="eastAsia" w:cs="微软雅黑" w:asciiTheme="minorEastAsia" w:hAnsiTheme="minorEastAsia" w:eastAsiaTheme="minorEastAsia"/>
          <w:sz w:val="24"/>
        </w:rPr>
        <w:t>一、技术参数：</w:t>
      </w:r>
    </w:p>
    <w:p w14:paraId="4B73254C">
      <w:pPr>
        <w:spacing w:line="360" w:lineRule="auto"/>
        <w:rPr>
          <w:rFonts w:cs="微软雅黑" w:asciiTheme="minorEastAsia" w:hAnsiTheme="minorEastAsia" w:eastAsiaTheme="minorEastAsia"/>
          <w:sz w:val="24"/>
        </w:rPr>
      </w:pPr>
      <w:r>
        <w:rPr>
          <w:rFonts w:hint="eastAsia" w:cs="微软雅黑" w:asciiTheme="minorEastAsia" w:hAnsiTheme="minorEastAsia" w:eastAsiaTheme="minorEastAsia"/>
          <w:sz w:val="24"/>
        </w:rPr>
        <w:t>1、</w:t>
      </w:r>
      <w:r>
        <w:rPr>
          <w:rFonts w:hint="eastAsia" w:asciiTheme="minorEastAsia" w:hAnsiTheme="minorEastAsia" w:eastAsiaTheme="minorEastAsia"/>
          <w:sz w:val="24"/>
        </w:rPr>
        <w:t>校准装置满足YY/T 0634-2022或ISO 10940:2009标准的检测要求，可用于</w:t>
      </w:r>
      <w:r>
        <w:rPr>
          <w:rFonts w:hint="eastAsia" w:cs="微软雅黑" w:asciiTheme="minorEastAsia" w:hAnsiTheme="minorEastAsia" w:eastAsiaTheme="minorEastAsia"/>
          <w:sz w:val="24"/>
        </w:rPr>
        <w:t>眼底照相机的检测。</w:t>
      </w:r>
    </w:p>
    <w:p w14:paraId="0ACBDC26">
      <w:pPr>
        <w:spacing w:line="360" w:lineRule="auto"/>
        <w:rPr>
          <w:rFonts w:cs="微软雅黑" w:asciiTheme="minorEastAsia" w:hAnsiTheme="minorEastAsia" w:eastAsiaTheme="minorEastAsia"/>
          <w:sz w:val="24"/>
        </w:rPr>
      </w:pPr>
      <w:r>
        <w:rPr>
          <w:rFonts w:cs="微软雅黑" w:asciiTheme="minorEastAsia" w:hAnsiTheme="minorEastAsia" w:eastAsiaTheme="minorEastAsia"/>
          <w:sz w:val="24"/>
        </w:rPr>
        <w:t>2、</w:t>
      </w:r>
      <w:r>
        <w:rPr>
          <w:rFonts w:hint="eastAsia" w:cs="微软雅黑" w:asciiTheme="minorEastAsia" w:hAnsiTheme="minorEastAsia" w:eastAsiaTheme="minorEastAsia"/>
          <w:sz w:val="24"/>
        </w:rPr>
        <w:t>模拟眼采用光敏树脂和</w:t>
      </w:r>
      <w:r>
        <w:rPr>
          <w:rFonts w:cs="微软雅黑" w:asciiTheme="minorEastAsia" w:hAnsiTheme="minorEastAsia" w:eastAsiaTheme="minorEastAsia"/>
          <w:sz w:val="24"/>
        </w:rPr>
        <w:t>3D打印技术加工，眼底可放置</w:t>
      </w:r>
      <w:r>
        <w:rPr>
          <w:rFonts w:hint="eastAsia" w:cs="微软雅黑" w:asciiTheme="minorEastAsia" w:hAnsiTheme="minorEastAsia" w:eastAsiaTheme="minorEastAsia"/>
          <w:sz w:val="24"/>
        </w:rPr>
        <w:t>≥</w:t>
      </w:r>
      <w:r>
        <w:rPr>
          <w:rFonts w:cs="微软雅黑" w:asciiTheme="minorEastAsia" w:hAnsiTheme="minorEastAsia" w:eastAsiaTheme="minorEastAsia"/>
          <w:sz w:val="24"/>
        </w:rPr>
        <w:t>9个分辨率板，分别对应视场中心、中部和边缘。</w:t>
      </w:r>
    </w:p>
    <w:p w14:paraId="4092CE76">
      <w:pPr>
        <w:spacing w:line="360" w:lineRule="auto"/>
        <w:rPr>
          <w:rFonts w:cs="微软雅黑" w:asciiTheme="minorEastAsia" w:hAnsiTheme="minorEastAsia" w:eastAsiaTheme="minorEastAsia"/>
          <w:sz w:val="24"/>
        </w:rPr>
      </w:pPr>
      <w:r>
        <w:rPr>
          <w:rFonts w:cs="微软雅黑" w:asciiTheme="minorEastAsia" w:hAnsiTheme="minorEastAsia" w:eastAsiaTheme="minorEastAsia"/>
          <w:sz w:val="24"/>
        </w:rPr>
        <w:t>3、</w:t>
      </w:r>
      <w:r>
        <w:rPr>
          <w:rFonts w:hint="eastAsia" w:cs="微软雅黑" w:asciiTheme="minorEastAsia" w:hAnsiTheme="minorEastAsia" w:eastAsiaTheme="minorEastAsia"/>
          <w:sz w:val="24"/>
        </w:rPr>
        <w:t>模拟眼视场角测量范围：</w:t>
      </w:r>
      <w:r>
        <w:rPr>
          <w:rFonts w:cs="微软雅黑" w:asciiTheme="minorEastAsia" w:hAnsiTheme="minorEastAsia" w:eastAsiaTheme="minorEastAsia"/>
          <w:sz w:val="24"/>
        </w:rPr>
        <w:t>30</w:t>
      </w:r>
      <w:r>
        <w:rPr>
          <w:rFonts w:hint="eastAsia" w:cs="微软雅黑" w:asciiTheme="minorEastAsia" w:hAnsiTheme="minorEastAsia" w:eastAsiaTheme="minorEastAsia"/>
          <w:sz w:val="24"/>
        </w:rPr>
        <w:t>～</w:t>
      </w:r>
      <w:r>
        <w:rPr>
          <w:rFonts w:cs="微软雅黑" w:asciiTheme="minorEastAsia" w:hAnsiTheme="minorEastAsia" w:eastAsiaTheme="minorEastAsia"/>
          <w:sz w:val="24"/>
        </w:rPr>
        <w:t>150</w:t>
      </w:r>
      <w:r>
        <w:rPr>
          <w:rFonts w:hint="eastAsia" w:cs="微软雅黑" w:asciiTheme="minorEastAsia" w:hAnsiTheme="minorEastAsia" w:eastAsiaTheme="minorEastAsia"/>
          <w:sz w:val="24"/>
        </w:rPr>
        <w:t>°，间隔≤</w:t>
      </w:r>
      <w:r>
        <w:rPr>
          <w:rFonts w:cs="微软雅黑" w:asciiTheme="minorEastAsia" w:hAnsiTheme="minorEastAsia" w:eastAsiaTheme="minorEastAsia"/>
          <w:sz w:val="24"/>
        </w:rPr>
        <w:t>10°。</w:t>
      </w:r>
    </w:p>
    <w:p w14:paraId="763229B6">
      <w:pPr>
        <w:spacing w:line="360" w:lineRule="auto"/>
        <w:rPr>
          <w:rFonts w:cs="微软雅黑" w:asciiTheme="minorEastAsia" w:hAnsiTheme="minorEastAsia" w:eastAsiaTheme="minorEastAsia"/>
          <w:sz w:val="24"/>
        </w:rPr>
      </w:pPr>
      <w:r>
        <w:rPr>
          <w:rFonts w:hint="eastAsia" w:cs="微软雅黑" w:asciiTheme="minorEastAsia" w:hAnsiTheme="minorEastAsia" w:eastAsiaTheme="minorEastAsia"/>
          <w:sz w:val="24"/>
        </w:rPr>
        <w:t>4、分辨率板：满足</w:t>
      </w:r>
      <w:r>
        <w:rPr>
          <w:rFonts w:cs="微软雅黑" w:asciiTheme="minorEastAsia" w:hAnsiTheme="minorEastAsia" w:eastAsiaTheme="minorEastAsia"/>
          <w:sz w:val="24"/>
        </w:rPr>
        <w:t>1951-USAF分辨率板</w:t>
      </w:r>
      <w:r>
        <w:rPr>
          <w:rFonts w:hint="eastAsia" w:cs="微软雅黑" w:asciiTheme="minorEastAsia" w:hAnsiTheme="minorEastAsia" w:eastAsiaTheme="minorEastAsia"/>
          <w:sz w:val="24"/>
        </w:rPr>
        <w:t>要求，≥</w:t>
      </w:r>
      <w:r>
        <w:rPr>
          <w:rFonts w:cs="微软雅黑" w:asciiTheme="minorEastAsia" w:hAnsiTheme="minorEastAsia" w:eastAsiaTheme="minorEastAsia"/>
          <w:sz w:val="24"/>
        </w:rPr>
        <w:t>10组线对，分辨率</w:t>
      </w:r>
      <w:r>
        <w:rPr>
          <w:rFonts w:hint="eastAsia" w:cs="微软雅黑" w:asciiTheme="minorEastAsia" w:hAnsiTheme="minorEastAsia" w:eastAsiaTheme="minorEastAsia"/>
          <w:sz w:val="24"/>
        </w:rPr>
        <w:t>至少包含：</w:t>
      </w:r>
      <w:r>
        <w:rPr>
          <w:rFonts w:cs="微软雅黑" w:asciiTheme="minorEastAsia" w:hAnsiTheme="minorEastAsia" w:eastAsiaTheme="minorEastAsia"/>
          <w:sz w:val="24"/>
        </w:rPr>
        <w:t>10lp/mm、20lp/mm、30lp/mm、40lp/mm、50lp/mm、60lp/mm、70lp/mm、80lp/mm、90lp/mm、100lp/mm</w:t>
      </w:r>
      <w:r>
        <w:rPr>
          <w:rFonts w:hint="eastAsia" w:cs="微软雅黑" w:asciiTheme="minorEastAsia" w:hAnsiTheme="minorEastAsia" w:eastAsiaTheme="minorEastAsia"/>
          <w:sz w:val="24"/>
        </w:rPr>
        <w:t>。</w:t>
      </w:r>
    </w:p>
    <w:p w14:paraId="4B9B5F70">
      <w:pPr>
        <w:spacing w:line="360" w:lineRule="auto"/>
        <w:rPr>
          <w:rFonts w:cs="微软雅黑" w:asciiTheme="minorEastAsia" w:hAnsiTheme="minorEastAsia" w:eastAsiaTheme="minorEastAsia"/>
          <w:sz w:val="24"/>
        </w:rPr>
      </w:pPr>
      <w:r>
        <w:rPr>
          <w:rFonts w:hint="eastAsia" w:cs="微软雅黑" w:asciiTheme="minorEastAsia" w:hAnsiTheme="minorEastAsia" w:eastAsiaTheme="minorEastAsia"/>
          <w:sz w:val="24"/>
        </w:rPr>
        <w:t>二、主要配置：</w:t>
      </w:r>
    </w:p>
    <w:p w14:paraId="7F990078">
      <w:pPr>
        <w:spacing w:line="360" w:lineRule="auto"/>
        <w:rPr>
          <w:rFonts w:cs="微软雅黑" w:asciiTheme="minorEastAsia" w:hAnsiTheme="minorEastAsia" w:eastAsiaTheme="minorEastAsia"/>
          <w:sz w:val="24"/>
        </w:rPr>
      </w:pPr>
      <w:r>
        <w:rPr>
          <w:rFonts w:cs="微软雅黑" w:asciiTheme="minorEastAsia" w:hAnsiTheme="minorEastAsia" w:eastAsiaTheme="minorEastAsia"/>
          <w:sz w:val="24"/>
        </w:rPr>
        <w:t>1、</w:t>
      </w:r>
      <w:r>
        <w:rPr>
          <w:rFonts w:hint="eastAsia" w:cs="微软雅黑" w:asciiTheme="minorEastAsia" w:hAnsiTheme="minorEastAsia" w:eastAsiaTheme="minorEastAsia"/>
          <w:sz w:val="24"/>
        </w:rPr>
        <w:t>模拟眼：</w:t>
      </w:r>
      <w:r>
        <w:rPr>
          <w:rFonts w:cs="微软雅黑" w:asciiTheme="minorEastAsia" w:hAnsiTheme="minorEastAsia" w:eastAsiaTheme="minorEastAsia"/>
          <w:sz w:val="24"/>
        </w:rPr>
        <w:t>1套</w:t>
      </w:r>
      <w:r>
        <w:rPr>
          <w:rFonts w:hint="eastAsia" w:cs="微软雅黑" w:asciiTheme="minorEastAsia" w:hAnsiTheme="minorEastAsia" w:eastAsiaTheme="minorEastAsia"/>
          <w:sz w:val="24"/>
        </w:rPr>
        <w:t>。</w:t>
      </w:r>
    </w:p>
    <w:p w14:paraId="60629B91">
      <w:pPr>
        <w:spacing w:line="360" w:lineRule="auto"/>
        <w:rPr>
          <w:rFonts w:cs="微软雅黑" w:asciiTheme="minorEastAsia" w:hAnsiTheme="minorEastAsia" w:eastAsiaTheme="minorEastAsia"/>
          <w:sz w:val="24"/>
        </w:rPr>
      </w:pPr>
      <w:r>
        <w:rPr>
          <w:rFonts w:cs="微软雅黑" w:asciiTheme="minorEastAsia" w:hAnsiTheme="minorEastAsia" w:eastAsiaTheme="minorEastAsia"/>
          <w:sz w:val="24"/>
        </w:rPr>
        <w:t>2、模拟</w:t>
      </w:r>
      <w:r>
        <w:rPr>
          <w:rFonts w:hint="eastAsia" w:cs="微软雅黑" w:asciiTheme="minorEastAsia" w:hAnsiTheme="minorEastAsia" w:eastAsiaTheme="minorEastAsia"/>
          <w:sz w:val="24"/>
        </w:rPr>
        <w:t>眼固定支架：</w:t>
      </w:r>
      <w:r>
        <w:rPr>
          <w:rFonts w:cs="微软雅黑" w:asciiTheme="minorEastAsia" w:hAnsiTheme="minorEastAsia" w:eastAsiaTheme="minorEastAsia"/>
          <w:sz w:val="24"/>
        </w:rPr>
        <w:t>1套。</w:t>
      </w:r>
    </w:p>
    <w:p w14:paraId="6460AD28">
      <w:pPr>
        <w:spacing w:line="360" w:lineRule="auto"/>
        <w:rPr>
          <w:rFonts w:cs="微软雅黑" w:asciiTheme="minorEastAsia" w:hAnsiTheme="minorEastAsia" w:eastAsiaTheme="minorEastAsia"/>
          <w:sz w:val="24"/>
        </w:rPr>
      </w:pPr>
      <w:r>
        <w:rPr>
          <w:rFonts w:hint="eastAsia" w:cs="微软雅黑" w:asciiTheme="minorEastAsia" w:hAnsiTheme="minorEastAsia" w:eastAsiaTheme="minorEastAsia"/>
          <w:sz w:val="24"/>
        </w:rPr>
        <w:t>三、技术资料：</w:t>
      </w:r>
    </w:p>
    <w:p w14:paraId="687DA6D2">
      <w:pPr>
        <w:spacing w:line="360" w:lineRule="auto"/>
        <w:rPr>
          <w:rFonts w:cs="微软雅黑" w:asciiTheme="minorEastAsia" w:hAnsiTheme="minorEastAsia" w:eastAsiaTheme="minorEastAsia"/>
          <w:sz w:val="24"/>
        </w:rPr>
      </w:pPr>
      <w:r>
        <w:rPr>
          <w:rFonts w:hint="eastAsia" w:cs="微软雅黑" w:asciiTheme="minorEastAsia" w:hAnsiTheme="minorEastAsia" w:eastAsiaTheme="minorEastAsia"/>
          <w:sz w:val="24"/>
        </w:rPr>
        <w:t>1、提供仪器设备的中文安装、操作手册，提供中文说明书、出厂校准证书。</w:t>
      </w:r>
      <w:r>
        <w:rPr>
          <w:rFonts w:cs="微软雅黑" w:asciiTheme="minorEastAsia" w:hAnsiTheme="minorEastAsia" w:eastAsiaTheme="minorEastAsia"/>
          <w:sz w:val="24"/>
        </w:rPr>
        <w:br w:type="textWrapping"/>
      </w:r>
      <w:r>
        <w:rPr>
          <w:rFonts w:hint="eastAsia" w:cs="微软雅黑" w:asciiTheme="minorEastAsia" w:hAnsiTheme="minorEastAsia" w:eastAsiaTheme="minorEastAsia"/>
          <w:sz w:val="24"/>
        </w:rPr>
        <w:t>2、提供仪器设备的中文维修保养手册。</w:t>
      </w:r>
      <w:r>
        <w:rPr>
          <w:rFonts w:cs="微软雅黑" w:asciiTheme="minorEastAsia" w:hAnsiTheme="minorEastAsia" w:eastAsiaTheme="minorEastAsia"/>
          <w:sz w:val="24"/>
        </w:rPr>
        <w:br w:type="textWrapping"/>
      </w:r>
      <w:r>
        <w:rPr>
          <w:rFonts w:hint="eastAsia" w:cs="微软雅黑" w:asciiTheme="minorEastAsia" w:hAnsiTheme="minorEastAsia" w:eastAsiaTheme="minorEastAsia"/>
          <w:sz w:val="24"/>
        </w:rPr>
        <w:t>3、仪器设备符合中国国家标准或通用国际标准。</w:t>
      </w:r>
    </w:p>
    <w:p w14:paraId="028D310D">
      <w:pPr>
        <w:spacing w:line="360" w:lineRule="auto"/>
        <w:rPr>
          <w:rFonts w:cs="微软雅黑" w:asciiTheme="minorEastAsia" w:hAnsiTheme="minorEastAsia" w:eastAsiaTheme="minorEastAsia"/>
          <w:sz w:val="24"/>
        </w:rPr>
      </w:pPr>
      <w:r>
        <w:rPr>
          <w:rFonts w:hint="eastAsia" w:cs="微软雅黑" w:asciiTheme="minorEastAsia" w:hAnsiTheme="minorEastAsia" w:eastAsiaTheme="minorEastAsia"/>
          <w:sz w:val="24"/>
        </w:rPr>
        <w:t>四、售后服务：</w:t>
      </w:r>
    </w:p>
    <w:p w14:paraId="7953374E">
      <w:pPr>
        <w:spacing w:line="360" w:lineRule="auto"/>
        <w:rPr>
          <w:rFonts w:asciiTheme="minorEastAsia" w:hAnsiTheme="minorEastAsia" w:eastAsiaTheme="minorEastAsia"/>
          <w:sz w:val="24"/>
        </w:rPr>
      </w:pPr>
      <w:r>
        <w:rPr>
          <w:rFonts w:hint="eastAsia" w:cs="微软雅黑" w:asciiTheme="minorEastAsia" w:hAnsiTheme="minorEastAsia" w:eastAsiaTheme="minorEastAsia"/>
          <w:sz w:val="24"/>
        </w:rPr>
        <w:t>1、安装、校准与试运行：对仪器设备的质量、规格、性能、数量进行详细和全面的检查，并出具检验证明，如有缺失，应负责赔偿。</w:t>
      </w:r>
      <w:r>
        <w:rPr>
          <w:rFonts w:cs="微软雅黑" w:asciiTheme="minorEastAsia" w:hAnsiTheme="minorEastAsia" w:eastAsiaTheme="minorEastAsia"/>
          <w:sz w:val="24"/>
        </w:rPr>
        <w:br w:type="textWrapping"/>
      </w:r>
      <w:r>
        <w:rPr>
          <w:rFonts w:hint="eastAsia" w:cs="微软雅黑" w:asciiTheme="minorEastAsia" w:hAnsiTheme="minorEastAsia" w:eastAsiaTheme="minorEastAsia"/>
          <w:sz w:val="24"/>
        </w:rPr>
        <w:t>2、负责为用户培训使用仪器的工作人员。培训内容包括仪器设备的基本原理、安装、调试、操作使用和日常保养维修等。培训时间不少于一个工作日。</w:t>
      </w:r>
      <w:r>
        <w:rPr>
          <w:rFonts w:cs="微软雅黑" w:asciiTheme="minorEastAsia" w:hAnsiTheme="minorEastAsia" w:eastAsiaTheme="minorEastAsia"/>
          <w:sz w:val="24"/>
        </w:rPr>
        <w:br w:type="textWrapping"/>
      </w:r>
      <w:r>
        <w:rPr>
          <w:rFonts w:hint="eastAsia" w:cs="微软雅黑" w:asciiTheme="minorEastAsia" w:hAnsiTheme="minorEastAsia" w:eastAsiaTheme="minorEastAsia"/>
          <w:sz w:val="24"/>
        </w:rPr>
        <w:t>3、质保期≥1年。质保期内，供货厂商在接到用户要求对所购仪器设备进行维修时，应在</w:t>
      </w:r>
      <w:r>
        <w:rPr>
          <w:rFonts w:cs="微软雅黑" w:asciiTheme="minorEastAsia" w:hAnsiTheme="minorEastAsia" w:eastAsiaTheme="minorEastAsia"/>
          <w:sz w:val="24"/>
        </w:rPr>
        <w:t>24小时之内给予答复，并派出维修人员在三日内到达用户现场进行维修服务。</w:t>
      </w:r>
      <w:r>
        <w:rPr>
          <w:rFonts w:cs="微软雅黑" w:asciiTheme="minorEastAsia" w:hAnsiTheme="minorEastAsia" w:eastAsiaTheme="minorEastAsia"/>
          <w:sz w:val="24"/>
        </w:rPr>
        <w:br w:type="textWrapping"/>
      </w:r>
      <w:r>
        <w:rPr>
          <w:rFonts w:hint="eastAsia" w:cs="微软雅黑" w:asciiTheme="minorEastAsia" w:hAnsiTheme="minorEastAsia" w:eastAsiaTheme="minorEastAsia"/>
          <w:sz w:val="24"/>
        </w:rPr>
        <w:t>4、所投产品应为最大限度满足采购需求且已在市场应用的成熟产品，不得针对采购需求进行不合理的或未经国家有关部门批准的特别加装、改装、改造等，投标人应提供全部所投产品的彩页等技术材料。</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微软雅黑">
    <w:altName w:val="黑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0DFA69">
    <w:pPr>
      <w:pStyle w:val="5"/>
      <w:jc w:val="both"/>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B87"/>
    <w:rsid w:val="00000337"/>
    <w:rsid w:val="000173FF"/>
    <w:rsid w:val="0005104C"/>
    <w:rsid w:val="00082327"/>
    <w:rsid w:val="001612D3"/>
    <w:rsid w:val="001620F1"/>
    <w:rsid w:val="00164EB1"/>
    <w:rsid w:val="00185F74"/>
    <w:rsid w:val="001A17ED"/>
    <w:rsid w:val="001A2B68"/>
    <w:rsid w:val="001A32C8"/>
    <w:rsid w:val="002171CC"/>
    <w:rsid w:val="00223E4B"/>
    <w:rsid w:val="00250D7F"/>
    <w:rsid w:val="00260346"/>
    <w:rsid w:val="00262A79"/>
    <w:rsid w:val="00262D50"/>
    <w:rsid w:val="00281ED4"/>
    <w:rsid w:val="002D3CE9"/>
    <w:rsid w:val="002E0B73"/>
    <w:rsid w:val="003864F0"/>
    <w:rsid w:val="00386D48"/>
    <w:rsid w:val="003B2DCC"/>
    <w:rsid w:val="003B5D09"/>
    <w:rsid w:val="003B6306"/>
    <w:rsid w:val="003E7E75"/>
    <w:rsid w:val="003F5F9A"/>
    <w:rsid w:val="004046DF"/>
    <w:rsid w:val="00441020"/>
    <w:rsid w:val="0049750E"/>
    <w:rsid w:val="004D41BE"/>
    <w:rsid w:val="00502394"/>
    <w:rsid w:val="00505D15"/>
    <w:rsid w:val="00513B2F"/>
    <w:rsid w:val="00516304"/>
    <w:rsid w:val="0059265D"/>
    <w:rsid w:val="005A1484"/>
    <w:rsid w:val="005C6246"/>
    <w:rsid w:val="00643E0B"/>
    <w:rsid w:val="00682B4A"/>
    <w:rsid w:val="006A1FC2"/>
    <w:rsid w:val="006C57B9"/>
    <w:rsid w:val="006F03EA"/>
    <w:rsid w:val="00704946"/>
    <w:rsid w:val="0070784E"/>
    <w:rsid w:val="007272CF"/>
    <w:rsid w:val="0076446E"/>
    <w:rsid w:val="00766764"/>
    <w:rsid w:val="00785AFC"/>
    <w:rsid w:val="007955FA"/>
    <w:rsid w:val="007B5029"/>
    <w:rsid w:val="007E4248"/>
    <w:rsid w:val="007F542C"/>
    <w:rsid w:val="00804F0D"/>
    <w:rsid w:val="008214B2"/>
    <w:rsid w:val="00831F84"/>
    <w:rsid w:val="00837552"/>
    <w:rsid w:val="008522B4"/>
    <w:rsid w:val="0089220C"/>
    <w:rsid w:val="008C7A5C"/>
    <w:rsid w:val="008D6214"/>
    <w:rsid w:val="0090141B"/>
    <w:rsid w:val="00935BDF"/>
    <w:rsid w:val="0096615A"/>
    <w:rsid w:val="00994ECA"/>
    <w:rsid w:val="00A435D1"/>
    <w:rsid w:val="00B44867"/>
    <w:rsid w:val="00B85D9D"/>
    <w:rsid w:val="00BA06E9"/>
    <w:rsid w:val="00BA66A0"/>
    <w:rsid w:val="00BD092F"/>
    <w:rsid w:val="00BD6036"/>
    <w:rsid w:val="00C079DD"/>
    <w:rsid w:val="00C4435E"/>
    <w:rsid w:val="00C82434"/>
    <w:rsid w:val="00CB1761"/>
    <w:rsid w:val="00CC3AD1"/>
    <w:rsid w:val="00CC6A0B"/>
    <w:rsid w:val="00CE5F31"/>
    <w:rsid w:val="00CE70AE"/>
    <w:rsid w:val="00CF578A"/>
    <w:rsid w:val="00D317DA"/>
    <w:rsid w:val="00D54ACA"/>
    <w:rsid w:val="00D77C6D"/>
    <w:rsid w:val="00D911D3"/>
    <w:rsid w:val="00E0027D"/>
    <w:rsid w:val="00E21EAE"/>
    <w:rsid w:val="00E36A05"/>
    <w:rsid w:val="00E54DFA"/>
    <w:rsid w:val="00E63753"/>
    <w:rsid w:val="00E73236"/>
    <w:rsid w:val="00E80BE7"/>
    <w:rsid w:val="00E8375E"/>
    <w:rsid w:val="00E92360"/>
    <w:rsid w:val="00EC5795"/>
    <w:rsid w:val="00ED0EC4"/>
    <w:rsid w:val="00EF281F"/>
    <w:rsid w:val="00F04628"/>
    <w:rsid w:val="00F26FB8"/>
    <w:rsid w:val="00F34B87"/>
    <w:rsid w:val="00F83890"/>
    <w:rsid w:val="00FD76E7"/>
    <w:rsid w:val="00FF6EC7"/>
    <w:rsid w:val="015978A5"/>
    <w:rsid w:val="02B7675D"/>
    <w:rsid w:val="05F86A42"/>
    <w:rsid w:val="080D5729"/>
    <w:rsid w:val="091B023C"/>
    <w:rsid w:val="0927199F"/>
    <w:rsid w:val="09FE4294"/>
    <w:rsid w:val="0AA52E73"/>
    <w:rsid w:val="0B724AB2"/>
    <w:rsid w:val="0CDB0461"/>
    <w:rsid w:val="0D893621"/>
    <w:rsid w:val="0D9844BF"/>
    <w:rsid w:val="0DD30F7B"/>
    <w:rsid w:val="0F3E6707"/>
    <w:rsid w:val="10681FA3"/>
    <w:rsid w:val="11B75996"/>
    <w:rsid w:val="12700AB1"/>
    <w:rsid w:val="1397638F"/>
    <w:rsid w:val="142E09AD"/>
    <w:rsid w:val="14F768E4"/>
    <w:rsid w:val="158E4D9B"/>
    <w:rsid w:val="172E2AF8"/>
    <w:rsid w:val="17C57F25"/>
    <w:rsid w:val="193B0615"/>
    <w:rsid w:val="199F0EF9"/>
    <w:rsid w:val="1AC56806"/>
    <w:rsid w:val="1C453028"/>
    <w:rsid w:val="1DA51126"/>
    <w:rsid w:val="1E300829"/>
    <w:rsid w:val="1ED72F09"/>
    <w:rsid w:val="1FA66E63"/>
    <w:rsid w:val="208507D9"/>
    <w:rsid w:val="20C352FD"/>
    <w:rsid w:val="22AD4249"/>
    <w:rsid w:val="25802206"/>
    <w:rsid w:val="27D94796"/>
    <w:rsid w:val="28D72247"/>
    <w:rsid w:val="297C439A"/>
    <w:rsid w:val="2BC702C3"/>
    <w:rsid w:val="2CFE0D96"/>
    <w:rsid w:val="31166443"/>
    <w:rsid w:val="33777A8D"/>
    <w:rsid w:val="344E4C1A"/>
    <w:rsid w:val="351229BE"/>
    <w:rsid w:val="36BF781E"/>
    <w:rsid w:val="37C82445"/>
    <w:rsid w:val="380D3C74"/>
    <w:rsid w:val="394D1228"/>
    <w:rsid w:val="39F806CC"/>
    <w:rsid w:val="3A860851"/>
    <w:rsid w:val="3CB4553B"/>
    <w:rsid w:val="3EEA2C17"/>
    <w:rsid w:val="41DB5E49"/>
    <w:rsid w:val="43392E5A"/>
    <w:rsid w:val="459437F2"/>
    <w:rsid w:val="460332EE"/>
    <w:rsid w:val="46E2366A"/>
    <w:rsid w:val="47D03057"/>
    <w:rsid w:val="47D329AE"/>
    <w:rsid w:val="48E35E19"/>
    <w:rsid w:val="497E6E44"/>
    <w:rsid w:val="4A18561B"/>
    <w:rsid w:val="4B1B4B63"/>
    <w:rsid w:val="4C966CE4"/>
    <w:rsid w:val="4DBA4AC2"/>
    <w:rsid w:val="4E071DD2"/>
    <w:rsid w:val="4F872AA8"/>
    <w:rsid w:val="4FAF2313"/>
    <w:rsid w:val="4FE95668"/>
    <w:rsid w:val="514874D3"/>
    <w:rsid w:val="52224AB4"/>
    <w:rsid w:val="5557504B"/>
    <w:rsid w:val="557B0269"/>
    <w:rsid w:val="55DD26F3"/>
    <w:rsid w:val="55EC0BF5"/>
    <w:rsid w:val="56237867"/>
    <w:rsid w:val="567F246D"/>
    <w:rsid w:val="577FDBC7"/>
    <w:rsid w:val="58D25ADE"/>
    <w:rsid w:val="5B5116B3"/>
    <w:rsid w:val="5C1131D4"/>
    <w:rsid w:val="603238B6"/>
    <w:rsid w:val="60C11C53"/>
    <w:rsid w:val="61E36E36"/>
    <w:rsid w:val="630B6898"/>
    <w:rsid w:val="63675CD5"/>
    <w:rsid w:val="6A856300"/>
    <w:rsid w:val="6F092DF8"/>
    <w:rsid w:val="72B33F95"/>
    <w:rsid w:val="742A02D8"/>
    <w:rsid w:val="747B6054"/>
    <w:rsid w:val="7499294C"/>
    <w:rsid w:val="771E1AA0"/>
    <w:rsid w:val="78632C67"/>
    <w:rsid w:val="79487FB4"/>
    <w:rsid w:val="79AD425C"/>
    <w:rsid w:val="79DF0A07"/>
    <w:rsid w:val="7CBD3670"/>
    <w:rsid w:val="BBF7B766"/>
    <w:rsid w:val="C7DEA511"/>
    <w:rsid w:val="DFDD291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sz w:val="18"/>
      <w:szCs w:val="18"/>
    </w:rPr>
  </w:style>
  <w:style w:type="paragraph" w:styleId="3">
    <w:name w:val="Date"/>
    <w:basedOn w:val="1"/>
    <w:next w:val="1"/>
    <w:link w:val="12"/>
    <w:semiHidden/>
    <w:unhideWhenUsed/>
    <w:qFormat/>
    <w:uiPriority w:val="99"/>
    <w:pPr>
      <w:ind w:left="100" w:leftChars="2500"/>
    </w:pPr>
  </w:style>
  <w:style w:type="paragraph" w:styleId="4">
    <w:name w:val="Balloon Text"/>
    <w:basedOn w:val="1"/>
    <w:link w:val="11"/>
    <w:unhideWhenUsed/>
    <w:qFormat/>
    <w:uiPriority w:val="99"/>
    <w:rPr>
      <w:sz w:val="18"/>
      <w:szCs w:val="18"/>
    </w:rPr>
  </w:style>
  <w:style w:type="paragraph" w:styleId="5">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9">
    <w:name w:val="页眉 Char"/>
    <w:basedOn w:val="8"/>
    <w:link w:val="6"/>
    <w:qFormat/>
    <w:uiPriority w:val="99"/>
    <w:rPr>
      <w:sz w:val="18"/>
      <w:szCs w:val="18"/>
    </w:rPr>
  </w:style>
  <w:style w:type="character" w:customStyle="1" w:styleId="10">
    <w:name w:val="页脚 Char"/>
    <w:basedOn w:val="8"/>
    <w:link w:val="5"/>
    <w:qFormat/>
    <w:uiPriority w:val="99"/>
    <w:rPr>
      <w:sz w:val="18"/>
      <w:szCs w:val="18"/>
    </w:rPr>
  </w:style>
  <w:style w:type="character" w:customStyle="1" w:styleId="11">
    <w:name w:val="批注框文本 Char"/>
    <w:basedOn w:val="8"/>
    <w:link w:val="4"/>
    <w:semiHidden/>
    <w:qFormat/>
    <w:uiPriority w:val="99"/>
    <w:rPr>
      <w:rFonts w:ascii="Times New Roman" w:hAnsi="Times New Roman" w:eastAsia="宋体" w:cs="Times New Roman"/>
      <w:kern w:val="2"/>
      <w:sz w:val="18"/>
      <w:szCs w:val="18"/>
    </w:rPr>
  </w:style>
  <w:style w:type="character" w:customStyle="1" w:styleId="12">
    <w:name w:val="日期 Char"/>
    <w:basedOn w:val="8"/>
    <w:link w:val="3"/>
    <w:semiHidden/>
    <w:qFormat/>
    <w:uiPriority w:val="99"/>
    <w:rPr>
      <w:kern w:val="2"/>
      <w:sz w:val="21"/>
      <w:szCs w:val="24"/>
    </w:rPr>
  </w:style>
  <w:style w:type="character" w:customStyle="1" w:styleId="13">
    <w:name w:val="文档结构图 Char"/>
    <w:basedOn w:val="8"/>
    <w:link w:val="2"/>
    <w:semiHidden/>
    <w:qFormat/>
    <w:uiPriority w:val="99"/>
    <w:rPr>
      <w:rFonts w:ascii="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SelectedStyle="\APA.XSL"/>
</file>

<file path=customXml/itemProps1.xml><?xml version="1.0" encoding="utf-8"?>
<ds:datastoreItem xmlns:ds="http://schemas.openxmlformats.org/officeDocument/2006/customXml" ds:itemID="{509C8808-CB7C-4C87-AE73-D7FE1F03FB53}">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Pages>
  <Words>104</Words>
  <Characters>593</Characters>
  <Lines>4</Lines>
  <Paragraphs>1</Paragraphs>
  <TotalTime>60</TotalTime>
  <ScaleCrop>false</ScaleCrop>
  <LinksUpToDate>false</LinksUpToDate>
  <CharactersWithSpaces>696</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2017-08-31T06:01:00Z</dcterms:created>
  <dc:creator>hanqd</dc:creator>
  <cp:lastModifiedBy>洪婧</cp:lastModifiedBy>
  <cp:lastPrinted>2019-11-28T07:56:00Z</cp:lastPrinted>
  <dcterms:modified xsi:type="dcterms:W3CDTF">2026-06-25T11:10:28Z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A5CC55BDEB24E7D9249C3C6A224855F1_43</vt:lpwstr>
  </property>
  <property fmtid="{D5CDD505-2E9C-101B-9397-08002B2CF9AE}" pid="4" name="KSOTemplateDocerSaveRecord">
    <vt:lpwstr>eyJoZGlkIjoiMWIyYWZmNzM4ZDUwOGUwMTE3NGFiYWU2OTAyMDZkODUiLCJ1c2VySWQiOiIxNDQ0NDczNjcwIn0=</vt:lpwstr>
  </property>
</Properties>
</file>